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0E" w:rsidRPr="00CD3068" w:rsidRDefault="005B490E" w:rsidP="005B490E">
      <w:pPr>
        <w:spacing w:line="420" w:lineRule="atLeast"/>
        <w:jc w:val="right"/>
        <w:rPr>
          <w:rFonts w:ascii="Arial" w:hAnsi="Arial" w:cs="Arial"/>
          <w:b/>
          <w:bCs/>
          <w:kern w:val="0"/>
          <w:sz w:val="26"/>
          <w:szCs w:val="26"/>
        </w:rPr>
      </w:pPr>
      <w:r w:rsidRPr="00CD3068">
        <w:rPr>
          <w:rFonts w:ascii="Arial" w:hAnsi="Arial" w:cs="Arial"/>
          <w:b/>
          <w:bCs/>
          <w:kern w:val="0"/>
          <w:sz w:val="26"/>
          <w:szCs w:val="26"/>
        </w:rPr>
        <w:t>【惠請刊登新聞稿／發佈時間</w:t>
      </w:r>
      <w:r w:rsidR="00E25E09">
        <w:rPr>
          <w:rFonts w:ascii="Arial" w:hAnsi="Arial" w:cs="Arial"/>
          <w:b/>
          <w:bCs/>
          <w:kern w:val="0"/>
          <w:sz w:val="26"/>
          <w:szCs w:val="26"/>
        </w:rPr>
        <w:t>10</w:t>
      </w:r>
      <w:r w:rsidR="00E25E09">
        <w:rPr>
          <w:rFonts w:ascii="Arial" w:hAnsi="Arial" w:cs="Arial" w:hint="eastAsia"/>
          <w:b/>
          <w:bCs/>
          <w:kern w:val="0"/>
          <w:sz w:val="26"/>
          <w:szCs w:val="26"/>
        </w:rPr>
        <w:t>3</w:t>
      </w:r>
      <w:r w:rsidR="00E25E09">
        <w:rPr>
          <w:rFonts w:ascii="Arial" w:hAnsi="Arial" w:cs="Arial"/>
          <w:b/>
          <w:bCs/>
          <w:kern w:val="0"/>
          <w:sz w:val="26"/>
          <w:szCs w:val="26"/>
        </w:rPr>
        <w:t>.</w:t>
      </w:r>
      <w:r w:rsidR="00B0758C">
        <w:rPr>
          <w:rFonts w:ascii="Arial" w:hAnsi="Arial" w:cs="Arial" w:hint="eastAsia"/>
          <w:b/>
          <w:bCs/>
          <w:kern w:val="0"/>
          <w:sz w:val="26"/>
          <w:szCs w:val="26"/>
        </w:rPr>
        <w:t>9</w:t>
      </w:r>
      <w:r w:rsidR="00B0758C">
        <w:rPr>
          <w:rFonts w:ascii="Arial" w:hAnsi="Arial" w:cs="Arial"/>
          <w:b/>
          <w:bCs/>
          <w:kern w:val="0"/>
          <w:sz w:val="26"/>
          <w:szCs w:val="26"/>
        </w:rPr>
        <w:t>.</w:t>
      </w:r>
      <w:r w:rsidR="00B0758C">
        <w:rPr>
          <w:rFonts w:ascii="Arial" w:hAnsi="Arial" w:cs="Arial" w:hint="eastAsia"/>
          <w:b/>
          <w:bCs/>
          <w:kern w:val="0"/>
          <w:sz w:val="26"/>
          <w:szCs w:val="26"/>
        </w:rPr>
        <w:t>2</w:t>
      </w:r>
      <w:r w:rsidRPr="00CD3068">
        <w:rPr>
          <w:rFonts w:ascii="Arial" w:hAnsi="Arial" w:cs="Arial"/>
          <w:b/>
          <w:bCs/>
          <w:kern w:val="0"/>
          <w:sz w:val="26"/>
          <w:szCs w:val="26"/>
        </w:rPr>
        <w:t xml:space="preserve"> </w:t>
      </w:r>
      <w:r w:rsidRPr="00CD3068">
        <w:rPr>
          <w:rFonts w:ascii="Arial" w:hAnsi="Arial" w:cs="Arial"/>
          <w:b/>
          <w:bCs/>
          <w:kern w:val="0"/>
          <w:sz w:val="26"/>
          <w:szCs w:val="26"/>
        </w:rPr>
        <w:t>】</w:t>
      </w:r>
    </w:p>
    <w:p w:rsidR="005B490E" w:rsidRPr="007107B2" w:rsidRDefault="005B490E" w:rsidP="0003333D">
      <w:pPr>
        <w:spacing w:line="500" w:lineRule="exact"/>
        <w:jc w:val="right"/>
        <w:rPr>
          <w:rFonts w:ascii="新細明體" w:hAnsi="新細明體" w:cs="新細明體"/>
          <w:b/>
          <w:bCs/>
          <w:kern w:val="0"/>
          <w:sz w:val="26"/>
          <w:szCs w:val="26"/>
        </w:rPr>
      </w:pPr>
      <w:bookmarkStart w:id="0" w:name="_GoBack"/>
      <w:bookmarkEnd w:id="0"/>
    </w:p>
    <w:p w:rsidR="005B490E" w:rsidRPr="00765B5B" w:rsidRDefault="00B0758C" w:rsidP="0003333D">
      <w:pPr>
        <w:spacing w:line="500" w:lineRule="exact"/>
        <w:jc w:val="center"/>
        <w:rPr>
          <w:rFonts w:ascii="微軟正黑體" w:eastAsia="微軟正黑體" w:hAnsi="微軟正黑體" w:cs="Arial"/>
          <w:b/>
          <w:bCs/>
          <w:color w:val="000000"/>
          <w:sz w:val="48"/>
          <w:szCs w:val="48"/>
        </w:rPr>
      </w:pPr>
      <w:r>
        <w:rPr>
          <w:rFonts w:ascii="微軟正黑體" w:eastAsia="微軟正黑體" w:hAnsi="微軟正黑體" w:cs="Arial" w:hint="eastAsia"/>
          <w:b/>
          <w:bCs/>
          <w:color w:val="000000"/>
          <w:sz w:val="48"/>
          <w:szCs w:val="48"/>
        </w:rPr>
        <w:t>亞太遊戲高峰會APGS</w:t>
      </w:r>
      <w:r w:rsidR="00077EE0">
        <w:rPr>
          <w:rFonts w:ascii="微軟正黑體" w:eastAsia="微軟正黑體" w:hAnsi="微軟正黑體" w:cs="Arial" w:hint="eastAsia"/>
          <w:b/>
          <w:bCs/>
          <w:color w:val="000000"/>
          <w:sz w:val="48"/>
          <w:szCs w:val="48"/>
        </w:rPr>
        <w:t xml:space="preserve"> </w:t>
      </w:r>
      <w:r>
        <w:rPr>
          <w:rFonts w:ascii="微軟正黑體" w:eastAsia="微軟正黑體" w:hAnsi="微軟正黑體" w:cs="Arial" w:hint="eastAsia"/>
          <w:b/>
          <w:bCs/>
          <w:color w:val="000000"/>
          <w:sz w:val="48"/>
          <w:szCs w:val="48"/>
        </w:rPr>
        <w:t>台北</w:t>
      </w:r>
      <w:r w:rsidR="00B244F8">
        <w:rPr>
          <w:rFonts w:ascii="微軟正黑體" w:eastAsia="微軟正黑體" w:hAnsi="微軟正黑體" w:cs="Arial" w:hint="eastAsia"/>
          <w:b/>
          <w:bCs/>
          <w:color w:val="000000"/>
          <w:sz w:val="48"/>
          <w:szCs w:val="48"/>
        </w:rPr>
        <w:t>登場</w:t>
      </w:r>
    </w:p>
    <w:p w:rsidR="005B490E" w:rsidRPr="00765B5B" w:rsidRDefault="00077EE0" w:rsidP="001026E7">
      <w:pPr>
        <w:spacing w:beforeLines="50" w:before="180" w:line="500" w:lineRule="exact"/>
        <w:jc w:val="center"/>
        <w:rPr>
          <w:rFonts w:ascii="微軟正黑體" w:eastAsia="微軟正黑體" w:hAnsi="微軟正黑體" w:cs="Arial"/>
          <w:b/>
          <w:bCs/>
          <w:color w:val="000000"/>
          <w:sz w:val="48"/>
          <w:szCs w:val="48"/>
        </w:rPr>
      </w:pPr>
      <w:r>
        <w:rPr>
          <w:rFonts w:ascii="微軟正黑體" w:eastAsia="微軟正黑體" w:hAnsi="微軟正黑體" w:cs="Arial" w:hint="eastAsia"/>
          <w:b/>
          <w:bCs/>
          <w:color w:val="000000"/>
          <w:sz w:val="48"/>
          <w:szCs w:val="48"/>
        </w:rPr>
        <w:t>東南亞、東瀛</w:t>
      </w:r>
      <w:r w:rsidR="001026E7">
        <w:rPr>
          <w:rFonts w:ascii="微軟正黑體" w:eastAsia="微軟正黑體" w:hAnsi="微軟正黑體" w:cs="Arial" w:hint="eastAsia"/>
          <w:b/>
          <w:bCs/>
          <w:color w:val="000000"/>
          <w:sz w:val="48"/>
          <w:szCs w:val="48"/>
        </w:rPr>
        <w:t>市場</w:t>
      </w:r>
      <w:r>
        <w:rPr>
          <w:rFonts w:ascii="微軟正黑體" w:eastAsia="微軟正黑體" w:hAnsi="微軟正黑體" w:cs="Arial" w:hint="eastAsia"/>
          <w:b/>
          <w:bCs/>
          <w:color w:val="000000"/>
          <w:sz w:val="48"/>
          <w:szCs w:val="48"/>
        </w:rPr>
        <w:t>魅力大 遊戲IP</w:t>
      </w:r>
      <w:r w:rsidR="00CF6695">
        <w:rPr>
          <w:rFonts w:ascii="微軟正黑體" w:eastAsia="微軟正黑體" w:hAnsi="微軟正黑體" w:cs="Arial" w:hint="eastAsia"/>
          <w:b/>
          <w:bCs/>
          <w:color w:val="000000"/>
          <w:sz w:val="48"/>
          <w:szCs w:val="48"/>
        </w:rPr>
        <w:t>值萬金</w:t>
      </w:r>
    </w:p>
    <w:p w:rsidR="00454001" w:rsidRDefault="00454001" w:rsidP="00454001">
      <w:pPr>
        <w:spacing w:line="420" w:lineRule="exact"/>
        <w:rPr>
          <w:rFonts w:asciiTheme="majorEastAsia" w:eastAsiaTheme="majorEastAsia" w:hAnsiTheme="majorEastAsia" w:cs="Arial"/>
          <w:color w:val="000000" w:themeColor="text1"/>
          <w:sz w:val="26"/>
          <w:szCs w:val="26"/>
        </w:rPr>
      </w:pPr>
    </w:p>
    <w:p w:rsidR="000456DC" w:rsidRDefault="006F642F" w:rsidP="00454001">
      <w:pPr>
        <w:spacing w:line="420" w:lineRule="exact"/>
        <w:rPr>
          <w:rFonts w:asciiTheme="majorEastAsia" w:eastAsiaTheme="majorEastAsia" w:hAnsiTheme="majorEastAsia" w:cs="Arial"/>
          <w:color w:val="000000" w:themeColor="text1"/>
          <w:sz w:val="26"/>
          <w:szCs w:val="26"/>
        </w:rPr>
      </w:pPr>
      <w:r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 xml:space="preserve">  </w:t>
      </w:r>
      <w:r w:rsidR="000456DC" w:rsidRPr="000503AF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2015亞太遊戲高峰會</w:t>
      </w:r>
      <w:proofErr w:type="gramStart"/>
      <w:r w:rsidR="000456DC" w:rsidRPr="000503AF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（</w:t>
      </w:r>
      <w:proofErr w:type="gramEnd"/>
      <w:r w:rsidR="000456DC" w:rsidRPr="000503AF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APGS；Asia-Pacific Game Summit</w:t>
      </w:r>
      <w:proofErr w:type="gramStart"/>
      <w:r w:rsidR="000456DC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）</w:t>
      </w:r>
      <w:proofErr w:type="gramEnd"/>
      <w:r w:rsidR="000456DC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將</w:t>
      </w:r>
      <w:r w:rsidR="000456DC" w:rsidRPr="000503AF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於</w:t>
      </w:r>
      <w:r w:rsidR="000456DC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明年</w:t>
      </w:r>
      <w:r w:rsidR="000456DC" w:rsidRPr="000503AF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1月28日至29日</w:t>
      </w:r>
      <w:r w:rsidR="000456DC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於台北舉行</w:t>
      </w:r>
      <w:r w:rsidR="007A51A2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年度大會</w:t>
      </w:r>
      <w:r w:rsidR="000456DC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，主辦單位</w:t>
      </w:r>
      <w:r w:rsidR="00BB2526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台北市電腦公會</w:t>
      </w:r>
      <w:r w:rsidR="000456DC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於今（2）日率先推出九月分享會，主題為「國際化布局大解密」，邀請國內遊戲業者和信戲谷、弘</w:t>
      </w:r>
      <w:proofErr w:type="gramStart"/>
      <w:r w:rsidR="000456DC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煜</w:t>
      </w:r>
      <w:proofErr w:type="gramEnd"/>
      <w:r w:rsidR="000456DC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、大宇、好玩家</w:t>
      </w:r>
      <w:r w:rsidR="000456DC" w:rsidRPr="0021728E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、攜帶</w:t>
      </w:r>
      <w:r w:rsidR="000456DC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分享</w:t>
      </w:r>
      <w:r w:rsidR="00833589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各自在海外市場布局的經驗，以及透過行政院國家發展基金</w:t>
      </w:r>
      <w:r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創業天使計畫，協助獨立遊戲開發團隊成功</w:t>
      </w:r>
      <w:r w:rsidR="000456DC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賺取遊戲</w:t>
      </w:r>
      <w:proofErr w:type="gramStart"/>
      <w:r w:rsidR="000456DC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第一桶金</w:t>
      </w:r>
      <w:proofErr w:type="gramEnd"/>
      <w:r w:rsidR="000456DC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。</w:t>
      </w:r>
    </w:p>
    <w:p w:rsidR="000456DC" w:rsidRDefault="000456DC" w:rsidP="00454001">
      <w:pPr>
        <w:spacing w:line="420" w:lineRule="exact"/>
        <w:rPr>
          <w:rFonts w:asciiTheme="majorEastAsia" w:eastAsiaTheme="majorEastAsia" w:hAnsiTheme="majorEastAsia" w:cs="Arial"/>
          <w:color w:val="000000" w:themeColor="text1"/>
          <w:sz w:val="26"/>
          <w:szCs w:val="26"/>
        </w:rPr>
      </w:pPr>
    </w:p>
    <w:p w:rsidR="006F642F" w:rsidRDefault="00500F94" w:rsidP="00454001">
      <w:pPr>
        <w:spacing w:line="420" w:lineRule="exact"/>
        <w:rPr>
          <w:rFonts w:asciiTheme="majorEastAsia" w:eastAsiaTheme="majorEastAsia" w:hAnsiTheme="majorEastAsia" w:cs="Arial"/>
          <w:color w:val="000000" w:themeColor="text1"/>
          <w:sz w:val="26"/>
          <w:szCs w:val="26"/>
        </w:rPr>
      </w:pPr>
      <w:r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 xml:space="preserve">  </w:t>
      </w:r>
      <w:r w:rsidR="00212E27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2013年台灣行動遊戲風潮浮現，獨立開發者、小型工作團隊、新創公司等新秀冒出頭，</w:t>
      </w:r>
      <w:r w:rsidR="00AC7B41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像是猴子靈藥（Monkey Potion）、普樂多</w:t>
      </w:r>
      <w:r w:rsidR="00CD31AC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（Nomads）</w:t>
      </w:r>
      <w:r w:rsidR="00AC7B41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、</w:t>
      </w:r>
      <w:proofErr w:type="spellStart"/>
      <w:r w:rsidR="00FB34DA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Qubit</w:t>
      </w:r>
      <w:proofErr w:type="spellEnd"/>
      <w:r w:rsidR="00AC7B41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 xml:space="preserve"> Game</w:t>
      </w:r>
      <w:r w:rsidR="00FB34DA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s</w:t>
      </w:r>
      <w:r w:rsidR="00AC7B41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、由玩、雷亞遊戲、阿克騰</w:t>
      </w:r>
      <w:r w:rsidR="00CF6695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等，加上</w:t>
      </w:r>
      <w:r w:rsidR="00212E27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傳統遊戲大廠跨入開發APP行動遊戲，</w:t>
      </w:r>
      <w:r w:rsidR="00B754A0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如宇峻奧汀、雷爵、玩酷、中華網龍等，</w:t>
      </w:r>
      <w:r w:rsidR="00D83C78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估計</w:t>
      </w:r>
      <w:r w:rsidR="00AC7B41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台灣</w:t>
      </w:r>
      <w:r w:rsidR="00D83C78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有近兩百家</w:t>
      </w:r>
      <w:r w:rsidR="00B754A0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的開發</w:t>
      </w:r>
      <w:r w:rsidR="00AC7B41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團隊</w:t>
      </w:r>
      <w:r w:rsidR="00B754A0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投入行動遊戲製作；然而，當今</w:t>
      </w:r>
      <w:r w:rsidR="00AC7B41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APP行動遊戲</w:t>
      </w:r>
      <w:r w:rsidR="00B754A0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市場</w:t>
      </w:r>
      <w:r w:rsidR="00AC7B41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面臨的</w:t>
      </w:r>
      <w:r w:rsidR="00B754A0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正</w:t>
      </w:r>
      <w:r w:rsidR="00AC7B41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是來自全球化的競爭，</w:t>
      </w:r>
      <w:r w:rsidR="001026E7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因此</w:t>
      </w:r>
      <w:r w:rsidR="00B754A0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國際市場的經驗</w:t>
      </w:r>
      <w:r w:rsidR="006639D6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格外重要</w:t>
      </w:r>
      <w:r w:rsidR="00B754A0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，</w:t>
      </w:r>
      <w:r w:rsidR="001026E7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今天</w:t>
      </w:r>
      <w:r w:rsidR="006639D6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特別邀請國內具有海外布局與拓銷經驗豐富的業者，分享當中的重要歷程</w:t>
      </w:r>
      <w:r w:rsidR="00B754A0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。</w:t>
      </w:r>
    </w:p>
    <w:p w:rsidR="006639D6" w:rsidRDefault="006639D6" w:rsidP="00454001">
      <w:pPr>
        <w:spacing w:line="420" w:lineRule="exact"/>
        <w:rPr>
          <w:rFonts w:asciiTheme="majorEastAsia" w:eastAsiaTheme="majorEastAsia" w:hAnsiTheme="majorEastAsia" w:cs="Arial"/>
          <w:color w:val="000000" w:themeColor="text1"/>
          <w:sz w:val="26"/>
          <w:szCs w:val="26"/>
        </w:rPr>
      </w:pPr>
    </w:p>
    <w:p w:rsidR="00A74DB7" w:rsidRDefault="005672CB" w:rsidP="00454001">
      <w:pPr>
        <w:spacing w:line="420" w:lineRule="exact"/>
        <w:rPr>
          <w:rFonts w:asciiTheme="majorEastAsia" w:eastAsiaTheme="majorEastAsia" w:hAnsiTheme="majorEastAsia" w:cs="Arial"/>
          <w:color w:val="000000" w:themeColor="text1"/>
          <w:sz w:val="26"/>
          <w:szCs w:val="26"/>
        </w:rPr>
      </w:pPr>
      <w:r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 xml:space="preserve">  </w:t>
      </w:r>
      <w:r w:rsidR="006F642F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自</w:t>
      </w:r>
      <w:r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今</w:t>
      </w:r>
      <w:r w:rsidR="006F642F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年</w:t>
      </w:r>
      <w:r w:rsidR="006639D6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下半年開始</w:t>
      </w:r>
      <w:r w:rsidR="006F642F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，</w:t>
      </w:r>
      <w:r w:rsidR="006639D6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亞太遊戲高峰會（APGS）陸續推出各項產業議題，首先登場</w:t>
      </w:r>
      <w:r w:rsidR="00454001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九月分享會</w:t>
      </w:r>
      <w:r w:rsidR="000456DC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主題為</w:t>
      </w:r>
      <w:r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「國際化布局大解密」，分別</w:t>
      </w:r>
      <w:r w:rsidR="00454001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邀請和信戲谷吳東和策略規劃副總分享</w:t>
      </w:r>
      <w:r w:rsidR="009018A6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不論在</w:t>
      </w:r>
      <w:r w:rsidR="00454001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市場規模、法令</w:t>
      </w:r>
      <w:r w:rsidR="009018A6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與潛規則或人才、資訊交流方面</w:t>
      </w:r>
      <w:r w:rsidR="009C18A9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，兩岸市場</w:t>
      </w:r>
      <w:r w:rsidR="007A51A2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都有很大的差異化</w:t>
      </w:r>
      <w:r w:rsidR="009018A6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；</w:t>
      </w:r>
      <w:r w:rsidR="009C18A9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成功打入日本市場的台灣知名遊戲開發商弘煜科技</w:t>
      </w:r>
      <w:r w:rsidR="00D83C78">
        <w:rPr>
          <w:rFonts w:asciiTheme="majorEastAsia" w:eastAsiaTheme="majorEastAsia" w:hAnsiTheme="majorEastAsia" w:cs="Arial" w:hint="eastAsia"/>
          <w:color w:val="000000" w:themeColor="text1"/>
          <w:kern w:val="0"/>
          <w:sz w:val="26"/>
          <w:szCs w:val="26"/>
        </w:rPr>
        <w:t>分享神秘的東瀛市場，劉昱昌協理表示</w:t>
      </w:r>
      <w:r w:rsidR="00C957A8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雖然日本</w:t>
      </w:r>
      <w:r w:rsidR="009018A6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以高ARPU（每用戶平均收益）著稱，</w:t>
      </w:r>
      <w:r w:rsidR="006329E4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然而高度成熟的玩家、</w:t>
      </w:r>
      <w:proofErr w:type="gramStart"/>
      <w:r w:rsidR="006329E4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過度守序的</w:t>
      </w:r>
      <w:proofErr w:type="gramEnd"/>
      <w:r w:rsidR="006329E4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社會特性，</w:t>
      </w:r>
      <w:r w:rsidR="009C18A9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以致</w:t>
      </w:r>
      <w:r w:rsidR="006329E4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形成一個</w:t>
      </w:r>
      <w:r w:rsidR="00DC58F9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極度封閉的</w:t>
      </w:r>
      <w:r w:rsidR="006329E4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遊戲</w:t>
      </w:r>
      <w:r w:rsidR="00DC58F9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市場</w:t>
      </w:r>
      <w:r w:rsidR="00F57E4C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，</w:t>
      </w:r>
      <w:r w:rsidR="00C957A8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對於計畫前進日本市場的遊戲有不少經驗談</w:t>
      </w:r>
      <w:r w:rsidR="00A74DB7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；好玩家（</w:t>
      </w:r>
      <w:proofErr w:type="spellStart"/>
      <w:r w:rsidR="00A74DB7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SNSplus</w:t>
      </w:r>
      <w:proofErr w:type="spellEnd"/>
      <w:r w:rsidR="00A74DB7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）是最早跨入東南亞市場扎根營運的台灣遊戲公司，陳翎雅資深協理說明其如何運用國際思維結合在地化的策略，深入剖析泰國、越南與柬埔寨市場結構，並且分享經營玩家市場的在地行銷策略。</w:t>
      </w:r>
    </w:p>
    <w:p w:rsidR="00A74DB7" w:rsidRDefault="00A74DB7" w:rsidP="00454001">
      <w:pPr>
        <w:spacing w:line="420" w:lineRule="exact"/>
        <w:rPr>
          <w:rFonts w:asciiTheme="majorEastAsia" w:eastAsiaTheme="majorEastAsia" w:hAnsiTheme="majorEastAsia" w:cs="Arial"/>
          <w:color w:val="000000" w:themeColor="text1"/>
          <w:sz w:val="26"/>
          <w:szCs w:val="26"/>
        </w:rPr>
      </w:pPr>
    </w:p>
    <w:p w:rsidR="000232BE" w:rsidRPr="000232BE" w:rsidRDefault="00A74DB7" w:rsidP="000232BE">
      <w:pPr>
        <w:spacing w:line="420" w:lineRule="exact"/>
        <w:rPr>
          <w:rFonts w:asciiTheme="majorEastAsia" w:eastAsiaTheme="majorEastAsia" w:hAnsiTheme="majorEastAsia" w:cs="Arial"/>
          <w:color w:val="000000" w:themeColor="text1"/>
          <w:sz w:val="26"/>
          <w:szCs w:val="26"/>
        </w:rPr>
      </w:pPr>
      <w:r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 xml:space="preserve">  </w:t>
      </w:r>
      <w:r w:rsidR="00BF172A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與原創遊戲伴隨而生的</w:t>
      </w:r>
      <w:r w:rsidR="00B704D9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IP</w:t>
      </w:r>
      <w:proofErr w:type="gramStart"/>
      <w:r w:rsidR="00BF172A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（</w:t>
      </w:r>
      <w:proofErr w:type="spellStart"/>
      <w:proofErr w:type="gramEnd"/>
      <w:r w:rsidR="00BF172A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IP</w:t>
      </w:r>
      <w:proofErr w:type="spellEnd"/>
      <w:r w:rsidR="00BF172A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；Intellectual Property</w:t>
      </w:r>
      <w:proofErr w:type="gramStart"/>
      <w:r w:rsidR="00BF172A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）</w:t>
      </w:r>
      <w:proofErr w:type="gramEnd"/>
      <w:r w:rsidR="00636466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日漸</w:t>
      </w:r>
      <w:r w:rsidR="00BF172A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引起業界的重視，擁有不少經典遊戲IP的大宇資訊</w:t>
      </w:r>
      <w:r w:rsidR="00636466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集團副總裁</w:t>
      </w:r>
      <w:r w:rsidR="007A51A2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兼行政總監</w:t>
      </w:r>
      <w:r w:rsidR="00636466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黃淑慧</w:t>
      </w:r>
      <w:r w:rsidR="00C957A8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認為，</w:t>
      </w:r>
      <w:r w:rsidR="00BF172A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好的遊戲IP應</w:t>
      </w:r>
      <w:r w:rsidR="00B704D9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具備非公共財、高知名度、衍生性、</w:t>
      </w:r>
      <w:r w:rsidR="00636466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持續數年以上的生命力</w:t>
      </w:r>
      <w:r w:rsidR="00B704D9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等特</w:t>
      </w:r>
      <w:r w:rsidR="00636466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性</w:t>
      </w:r>
      <w:r w:rsidR="00631F53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；</w:t>
      </w:r>
      <w:r w:rsidR="007A51A2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擁有豐富海外參展經驗</w:t>
      </w:r>
      <w:r w:rsidR="00C957A8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的</w:t>
      </w:r>
      <w:r w:rsidR="007A51A2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獨立遊戲開發團隊</w:t>
      </w:r>
      <w:r w:rsidR="00C957A8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攜帶創辦人Claire（陳雅婷）</w:t>
      </w:r>
      <w:r w:rsidR="007A51A2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，同時也是</w:t>
      </w:r>
      <w:r w:rsidR="00833589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這次</w:t>
      </w:r>
      <w:r w:rsidR="004B6A68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C</w:t>
      </w:r>
      <w:r w:rsidR="007A51A2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asual Connect Asia</w:t>
      </w:r>
      <w:r w:rsidR="004B6A68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獲頒</w:t>
      </w:r>
      <w:r w:rsidR="007A51A2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最傑出女性開發者獎項得主</w:t>
      </w:r>
      <w:r w:rsidR="00C957A8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，</w:t>
      </w:r>
      <w:r w:rsidR="004B6A68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現場</w:t>
      </w:r>
      <w:r w:rsidR="00C957A8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分享</w:t>
      </w:r>
      <w:r w:rsidR="004B6A68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了</w:t>
      </w:r>
      <w:r w:rsidR="00C957A8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獨立開發團隊</w:t>
      </w:r>
      <w:r w:rsidR="000456DC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應該</w:t>
      </w:r>
      <w:r w:rsidR="00C957A8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如何</w:t>
      </w:r>
      <w:r w:rsidR="000456DC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走出台灣，站</w:t>
      </w:r>
      <w:r w:rsidR="00C957A8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在</w:t>
      </w:r>
      <w:r w:rsidR="00C957A8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lastRenderedPageBreak/>
        <w:t>全球各遊戲展會</w:t>
      </w:r>
      <w:r w:rsidR="000456DC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上，</w:t>
      </w:r>
      <w:r w:rsidR="00C957A8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建立</w:t>
      </w:r>
      <w:r w:rsidR="000456DC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自己的</w:t>
      </w:r>
      <w:r w:rsidR="00C957A8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品牌</w:t>
      </w:r>
      <w:r w:rsidR="000456DC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、創造機會，讓媒體與發行商都認識你。</w:t>
      </w:r>
      <w:proofErr w:type="gramStart"/>
      <w:r w:rsidR="00D85B26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此外</w:t>
      </w:r>
      <w:r w:rsidR="00833589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，</w:t>
      </w:r>
      <w:proofErr w:type="gramEnd"/>
      <w:r w:rsidR="00833589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行政院國家發展基金</w:t>
      </w:r>
      <w:r w:rsidR="00F37D23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創業天使計畫</w:t>
      </w:r>
      <w:r w:rsidR="00833589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截至六月底已成功申請三十三</w:t>
      </w:r>
      <w:proofErr w:type="gramStart"/>
      <w:r w:rsidR="00833589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個</w:t>
      </w:r>
      <w:proofErr w:type="gramEnd"/>
      <w:r w:rsidR="00833589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案件，合計新台幣一億兩千萬元，</w:t>
      </w:r>
      <w:r w:rsidR="00077EE0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這對所有獨立開發者或團隊來說，無疑是最好的創業基金，現場邀請計畫</w:t>
      </w:r>
      <w:r w:rsidR="004B6A68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主持</w:t>
      </w:r>
      <w:r w:rsidR="00077EE0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人賴荃賢</w:t>
      </w:r>
      <w:r w:rsidR="00F37D23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分享</w:t>
      </w:r>
      <w:r w:rsidR="00833589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創業</w:t>
      </w:r>
      <w:r w:rsidR="00F37D23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天使計畫提案的關鍵要領</w:t>
      </w:r>
      <w:r w:rsidR="00077EE0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。</w:t>
      </w:r>
      <w:r w:rsidR="001026E7">
        <w:rPr>
          <w:rFonts w:asciiTheme="majorEastAsia" w:eastAsiaTheme="majorEastAsia" w:hAnsiTheme="majorEastAsia" w:cs="Arial" w:hint="eastAsia"/>
          <w:sz w:val="26"/>
          <w:szCs w:val="26"/>
        </w:rPr>
        <w:t>今日活動</w:t>
      </w:r>
      <w:r w:rsidR="000232BE">
        <w:rPr>
          <w:rFonts w:asciiTheme="majorEastAsia" w:eastAsiaTheme="majorEastAsia" w:hAnsiTheme="majorEastAsia" w:cs="Arial" w:hint="eastAsia"/>
          <w:sz w:val="26"/>
          <w:szCs w:val="26"/>
        </w:rPr>
        <w:t>內容將同步於TGS Twitch官方頻道（</w:t>
      </w:r>
      <w:proofErr w:type="spellStart"/>
      <w:r w:rsidR="000232BE">
        <w:rPr>
          <w:rFonts w:asciiTheme="majorEastAsia" w:eastAsiaTheme="majorEastAsia" w:hAnsiTheme="majorEastAsia" w:cs="Arial" w:hint="eastAsia"/>
          <w:sz w:val="26"/>
          <w:szCs w:val="26"/>
        </w:rPr>
        <w:t>TaipeiGameShow</w:t>
      </w:r>
      <w:proofErr w:type="spellEnd"/>
      <w:r w:rsidR="000232BE">
        <w:rPr>
          <w:rFonts w:asciiTheme="majorEastAsia" w:eastAsiaTheme="majorEastAsia" w:hAnsiTheme="majorEastAsia" w:cs="Arial" w:hint="eastAsia"/>
          <w:sz w:val="26"/>
          <w:szCs w:val="26"/>
        </w:rPr>
        <w:t>）播出，</w:t>
      </w:r>
      <w:proofErr w:type="gramStart"/>
      <w:r w:rsidR="000232BE">
        <w:rPr>
          <w:rFonts w:asciiTheme="majorEastAsia" w:eastAsiaTheme="majorEastAsia" w:hAnsiTheme="majorEastAsia" w:cs="Arial" w:hint="eastAsia"/>
          <w:sz w:val="26"/>
          <w:szCs w:val="26"/>
        </w:rPr>
        <w:t>歡迎線上收看</w:t>
      </w:r>
      <w:proofErr w:type="gramEnd"/>
      <w:r w:rsidR="000232BE">
        <w:rPr>
          <w:rFonts w:asciiTheme="majorEastAsia" w:eastAsiaTheme="majorEastAsia" w:hAnsiTheme="majorEastAsia" w:cs="Arial" w:hint="eastAsia"/>
          <w:sz w:val="26"/>
          <w:szCs w:val="26"/>
        </w:rPr>
        <w:t>，9月8日前鎖定追蹤官方頻道，可參加抽獎，有機會獨得好禮。</w:t>
      </w:r>
    </w:p>
    <w:p w:rsidR="000A37F4" w:rsidRPr="00C957A8" w:rsidRDefault="000A37F4" w:rsidP="008278E1">
      <w:pPr>
        <w:spacing w:line="420" w:lineRule="exact"/>
        <w:rPr>
          <w:rFonts w:asciiTheme="majorEastAsia" w:eastAsiaTheme="majorEastAsia" w:hAnsiTheme="majorEastAsia" w:cs="Arial"/>
          <w:color w:val="000000" w:themeColor="text1"/>
          <w:sz w:val="26"/>
          <w:szCs w:val="26"/>
        </w:rPr>
      </w:pPr>
    </w:p>
    <w:p w:rsidR="005F3C0A" w:rsidRDefault="005672CB" w:rsidP="008278E1">
      <w:pPr>
        <w:spacing w:line="420" w:lineRule="exact"/>
        <w:rPr>
          <w:rFonts w:asciiTheme="majorEastAsia" w:eastAsiaTheme="majorEastAsia" w:hAnsiTheme="majorEastAsia" w:cs="Arial"/>
          <w:sz w:val="26"/>
          <w:szCs w:val="26"/>
        </w:rPr>
      </w:pPr>
      <w:r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 xml:space="preserve">  </w:t>
      </w:r>
      <w:r w:rsidR="000456DC" w:rsidRPr="000503AF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2015亞太遊戲高峰會</w:t>
      </w:r>
      <w:proofErr w:type="gramStart"/>
      <w:r w:rsidR="000456DC" w:rsidRPr="000503AF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（</w:t>
      </w:r>
      <w:proofErr w:type="gramEnd"/>
      <w:r w:rsidR="000456DC" w:rsidRPr="000503AF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APGS；Asia-Pacific Game Summit</w:t>
      </w:r>
      <w:proofErr w:type="gramStart"/>
      <w:r w:rsidR="000456DC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）</w:t>
      </w:r>
      <w:proofErr w:type="gramEnd"/>
      <w:r w:rsidR="00D601C3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 xml:space="preserve"> </w:t>
      </w:r>
      <w:r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將於</w:t>
      </w:r>
      <w:r w:rsidR="00BB2526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明年</w:t>
      </w:r>
      <w:r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台北國際電玩展（TGS）期間</w:t>
      </w:r>
      <w:r w:rsidR="00BB2526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舉辦年度</w:t>
      </w:r>
      <w:r w:rsidR="004B6A68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最盛大的活動</w:t>
      </w:r>
      <w:r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，除了</w:t>
      </w:r>
      <w:r w:rsidR="005F3C0A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有來自</w:t>
      </w:r>
      <w:r w:rsidR="00D601C3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亞太地區國家，韓國、日本、中國、香港、泰國、新加坡等遊戲代表團</w:t>
      </w:r>
      <w:r w:rsidR="000456DC" w:rsidRPr="000503AF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共同簽署合作協議書，並依不同主題方向進行開發、行銷、營運、創投等專業演講</w:t>
      </w:r>
      <w:r w:rsidR="005F3C0A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，</w:t>
      </w:r>
      <w:r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同時結合</w:t>
      </w:r>
      <w:r w:rsidR="00BB2526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具備商務媒合</w:t>
      </w:r>
      <w:r w:rsidR="005F3C0A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功能的</w:t>
      </w:r>
      <w:r w:rsidRPr="000503AF">
        <w:rPr>
          <w:rFonts w:asciiTheme="majorEastAsia" w:eastAsiaTheme="majorEastAsia" w:hAnsiTheme="majorEastAsia" w:cs="Arial" w:hint="eastAsia"/>
          <w:sz w:val="26"/>
          <w:szCs w:val="26"/>
        </w:rPr>
        <w:t>「B2B Zone</w:t>
      </w:r>
      <w:r w:rsidR="005F3C0A">
        <w:rPr>
          <w:rFonts w:asciiTheme="majorEastAsia" w:eastAsiaTheme="majorEastAsia" w:hAnsiTheme="majorEastAsia" w:cs="Arial" w:hint="eastAsia"/>
          <w:sz w:val="26"/>
          <w:szCs w:val="26"/>
        </w:rPr>
        <w:t>商務區」</w:t>
      </w:r>
      <w:r w:rsidR="005F3C0A">
        <w:rPr>
          <w:rFonts w:asciiTheme="majorEastAsia" w:eastAsiaTheme="majorEastAsia" w:hAnsiTheme="majorEastAsia" w:cs="Arial" w:hint="eastAsia"/>
          <w:color w:val="000000" w:themeColor="text1"/>
          <w:sz w:val="26"/>
          <w:szCs w:val="26"/>
        </w:rPr>
        <w:t>、</w:t>
      </w:r>
      <w:r w:rsidR="005F3C0A">
        <w:rPr>
          <w:rFonts w:asciiTheme="majorEastAsia" w:eastAsiaTheme="majorEastAsia" w:hAnsiTheme="majorEastAsia" w:cs="Arial" w:hint="eastAsia"/>
          <w:sz w:val="26"/>
          <w:szCs w:val="26"/>
        </w:rPr>
        <w:t>來自更多獨立遊戲開發團隊產品演示的</w:t>
      </w:r>
      <w:r w:rsidR="005F3C0A" w:rsidRPr="000503AF">
        <w:rPr>
          <w:rFonts w:asciiTheme="majorEastAsia" w:eastAsiaTheme="majorEastAsia" w:hAnsiTheme="majorEastAsia" w:cs="Arial"/>
          <w:sz w:val="26"/>
          <w:szCs w:val="26"/>
        </w:rPr>
        <w:t xml:space="preserve">「Indie Game </w:t>
      </w:r>
      <w:proofErr w:type="spellStart"/>
      <w:r w:rsidR="005F3C0A" w:rsidRPr="000503AF">
        <w:rPr>
          <w:rFonts w:asciiTheme="majorEastAsia" w:eastAsiaTheme="majorEastAsia" w:hAnsiTheme="majorEastAsia" w:cs="Arial"/>
          <w:sz w:val="26"/>
          <w:szCs w:val="26"/>
        </w:rPr>
        <w:t>Festa</w:t>
      </w:r>
      <w:proofErr w:type="spellEnd"/>
      <w:r w:rsidR="005F3C0A" w:rsidRPr="000503AF">
        <w:rPr>
          <w:rFonts w:asciiTheme="majorEastAsia" w:eastAsiaTheme="majorEastAsia" w:hAnsiTheme="majorEastAsia" w:cs="Arial"/>
          <w:sz w:val="26"/>
          <w:szCs w:val="26"/>
        </w:rPr>
        <w:t>」</w:t>
      </w:r>
      <w:r w:rsidR="00BB2526">
        <w:rPr>
          <w:rFonts w:asciiTheme="majorEastAsia" w:eastAsiaTheme="majorEastAsia" w:hAnsiTheme="majorEastAsia" w:cs="Arial" w:hint="eastAsia"/>
          <w:sz w:val="26"/>
          <w:szCs w:val="26"/>
        </w:rPr>
        <w:t>以及</w:t>
      </w:r>
      <w:r w:rsidR="005F3C0A">
        <w:rPr>
          <w:rFonts w:asciiTheme="majorEastAsia" w:eastAsiaTheme="majorEastAsia" w:hAnsiTheme="majorEastAsia" w:cs="Arial" w:hint="eastAsia"/>
          <w:sz w:val="26"/>
          <w:szCs w:val="26"/>
        </w:rPr>
        <w:t>「TGS Night」交流之夜等精彩</w:t>
      </w:r>
      <w:r w:rsidR="00BB2526">
        <w:rPr>
          <w:rFonts w:asciiTheme="majorEastAsia" w:eastAsiaTheme="majorEastAsia" w:hAnsiTheme="majorEastAsia" w:cs="Arial" w:hint="eastAsia"/>
          <w:sz w:val="26"/>
          <w:szCs w:val="26"/>
        </w:rPr>
        <w:t>活動</w:t>
      </w:r>
      <w:r w:rsidR="00D601C3">
        <w:rPr>
          <w:rFonts w:asciiTheme="majorEastAsia" w:eastAsiaTheme="majorEastAsia" w:hAnsiTheme="majorEastAsia" w:cs="Arial" w:hint="eastAsia"/>
          <w:sz w:val="26"/>
          <w:szCs w:val="26"/>
        </w:rPr>
        <w:t>，</w:t>
      </w:r>
      <w:r w:rsidR="00BB2526" w:rsidRPr="000503AF">
        <w:rPr>
          <w:rFonts w:asciiTheme="majorEastAsia" w:eastAsiaTheme="majorEastAsia" w:hAnsiTheme="majorEastAsia" w:cs="Arial" w:hint="eastAsia"/>
          <w:sz w:val="26"/>
          <w:szCs w:val="26"/>
        </w:rPr>
        <w:t>打造</w:t>
      </w:r>
      <w:r w:rsidR="00BB2526">
        <w:rPr>
          <w:rFonts w:asciiTheme="majorEastAsia" w:eastAsiaTheme="majorEastAsia" w:hAnsiTheme="majorEastAsia" w:cs="Arial" w:hint="eastAsia"/>
          <w:sz w:val="26"/>
          <w:szCs w:val="26"/>
        </w:rPr>
        <w:t>專業人士的商務交流平台，</w:t>
      </w:r>
      <w:r w:rsidR="00D601C3">
        <w:rPr>
          <w:rFonts w:asciiTheme="majorEastAsia" w:eastAsiaTheme="majorEastAsia" w:hAnsiTheme="majorEastAsia" w:cs="Arial" w:hint="eastAsia"/>
          <w:sz w:val="26"/>
          <w:szCs w:val="26"/>
        </w:rPr>
        <w:t>以會議帶動專業展示，更</w:t>
      </w:r>
      <w:proofErr w:type="gramStart"/>
      <w:r w:rsidR="00D601C3">
        <w:rPr>
          <w:rFonts w:asciiTheme="majorEastAsia" w:eastAsiaTheme="majorEastAsia" w:hAnsiTheme="majorEastAsia" w:cs="Arial" w:hint="eastAsia"/>
          <w:sz w:val="26"/>
          <w:szCs w:val="26"/>
        </w:rPr>
        <w:t>凸</w:t>
      </w:r>
      <w:proofErr w:type="gramEnd"/>
      <w:r w:rsidR="00D601C3">
        <w:rPr>
          <w:rFonts w:asciiTheme="majorEastAsia" w:eastAsiaTheme="majorEastAsia" w:hAnsiTheme="majorEastAsia" w:cs="Arial" w:hint="eastAsia"/>
          <w:sz w:val="26"/>
          <w:szCs w:val="26"/>
        </w:rPr>
        <w:t>顯台灣遊戲市場於亞洲核心地位的重要性。</w:t>
      </w:r>
    </w:p>
    <w:p w:rsidR="005F3C0A" w:rsidRPr="00BB2526" w:rsidRDefault="005F3C0A" w:rsidP="008278E1">
      <w:pPr>
        <w:spacing w:line="420" w:lineRule="exact"/>
        <w:rPr>
          <w:rFonts w:asciiTheme="majorEastAsia" w:eastAsiaTheme="majorEastAsia" w:hAnsiTheme="majorEastAsia" w:cs="Arial"/>
          <w:sz w:val="26"/>
          <w:szCs w:val="26"/>
        </w:rPr>
      </w:pPr>
    </w:p>
    <w:p w:rsidR="00AA77F9" w:rsidRPr="00AA77F9" w:rsidRDefault="00F21726" w:rsidP="00AA77F9">
      <w:pPr>
        <w:spacing w:line="420" w:lineRule="exact"/>
        <w:rPr>
          <w:rFonts w:asciiTheme="majorEastAsia" w:eastAsiaTheme="majorEastAsia" w:hAnsiTheme="majorEastAsia" w:cs="Arial"/>
          <w:sz w:val="26"/>
          <w:szCs w:val="26"/>
        </w:rPr>
      </w:pPr>
      <w:r>
        <w:rPr>
          <w:rFonts w:asciiTheme="majorEastAsia" w:eastAsiaTheme="majorEastAsia" w:hAnsiTheme="majorEastAsia" w:cs="Arial" w:hint="eastAsia"/>
          <w:sz w:val="26"/>
          <w:szCs w:val="26"/>
        </w:rPr>
        <w:t xml:space="preserve">  台北國際電玩展</w:t>
      </w:r>
      <w:r w:rsidR="00353DA1">
        <w:rPr>
          <w:rFonts w:asciiTheme="majorEastAsia" w:eastAsiaTheme="majorEastAsia" w:hAnsiTheme="majorEastAsia" w:cs="Arial" w:hint="eastAsia"/>
          <w:sz w:val="26"/>
          <w:szCs w:val="26"/>
        </w:rPr>
        <w:t>（TGS）</w:t>
      </w:r>
      <w:r>
        <w:rPr>
          <w:rFonts w:asciiTheme="majorEastAsia" w:eastAsiaTheme="majorEastAsia" w:hAnsiTheme="majorEastAsia" w:cs="Arial" w:hint="eastAsia"/>
          <w:sz w:val="26"/>
          <w:szCs w:val="26"/>
        </w:rPr>
        <w:t>已敲定</w:t>
      </w:r>
      <w:r w:rsidR="00BB2526">
        <w:rPr>
          <w:rFonts w:asciiTheme="majorEastAsia" w:eastAsiaTheme="majorEastAsia" w:hAnsiTheme="majorEastAsia" w:cs="Arial" w:hint="eastAsia"/>
          <w:sz w:val="26"/>
          <w:szCs w:val="26"/>
        </w:rPr>
        <w:t>2015年</w:t>
      </w:r>
      <w:r>
        <w:rPr>
          <w:rFonts w:asciiTheme="majorEastAsia" w:eastAsiaTheme="majorEastAsia" w:hAnsiTheme="majorEastAsia" w:cs="Arial" w:hint="eastAsia"/>
          <w:sz w:val="26"/>
          <w:szCs w:val="26"/>
        </w:rPr>
        <w:t>1月28日至2月1日於台北世貿一館</w:t>
      </w:r>
      <w:r w:rsidR="000232BE">
        <w:rPr>
          <w:rFonts w:asciiTheme="majorEastAsia" w:eastAsiaTheme="majorEastAsia" w:hAnsiTheme="majorEastAsia" w:cs="Arial" w:hint="eastAsia"/>
          <w:sz w:val="26"/>
          <w:szCs w:val="26"/>
        </w:rPr>
        <w:t>展出</w:t>
      </w:r>
      <w:r>
        <w:rPr>
          <w:rFonts w:asciiTheme="majorEastAsia" w:eastAsiaTheme="majorEastAsia" w:hAnsiTheme="majorEastAsia" w:cs="Arial" w:hint="eastAsia"/>
          <w:sz w:val="26"/>
          <w:szCs w:val="26"/>
        </w:rPr>
        <w:t>，開展首日正值寒假第一天，不少學生</w:t>
      </w:r>
      <w:r w:rsidR="000232BE">
        <w:rPr>
          <w:rFonts w:asciiTheme="majorEastAsia" w:eastAsiaTheme="majorEastAsia" w:hAnsiTheme="majorEastAsia" w:cs="Arial" w:hint="eastAsia"/>
          <w:sz w:val="26"/>
          <w:szCs w:val="26"/>
        </w:rPr>
        <w:t>將其視為</w:t>
      </w:r>
      <w:r>
        <w:rPr>
          <w:rFonts w:asciiTheme="majorEastAsia" w:eastAsiaTheme="majorEastAsia" w:hAnsiTheme="majorEastAsia" w:cs="Arial" w:hint="eastAsia"/>
          <w:sz w:val="26"/>
          <w:szCs w:val="26"/>
        </w:rPr>
        <w:t>放假後首選活動</w:t>
      </w:r>
      <w:r w:rsidR="00353DA1">
        <w:rPr>
          <w:rFonts w:asciiTheme="majorEastAsia" w:eastAsiaTheme="majorEastAsia" w:hAnsiTheme="majorEastAsia" w:cs="Arial" w:hint="eastAsia"/>
          <w:sz w:val="26"/>
          <w:szCs w:val="26"/>
        </w:rPr>
        <w:t>，</w:t>
      </w:r>
      <w:r>
        <w:rPr>
          <w:rFonts w:asciiTheme="majorEastAsia" w:eastAsiaTheme="majorEastAsia" w:hAnsiTheme="majorEastAsia" w:cs="Arial" w:hint="eastAsia"/>
          <w:sz w:val="26"/>
          <w:szCs w:val="26"/>
        </w:rPr>
        <w:t>目前計畫</w:t>
      </w:r>
      <w:r w:rsidR="000232BE">
        <w:rPr>
          <w:rFonts w:asciiTheme="majorEastAsia" w:eastAsiaTheme="majorEastAsia" w:hAnsiTheme="majorEastAsia" w:cs="Arial" w:hint="eastAsia"/>
          <w:sz w:val="26"/>
          <w:szCs w:val="26"/>
        </w:rPr>
        <w:t>展出內容</w:t>
      </w:r>
      <w:r w:rsidR="00353DA1">
        <w:rPr>
          <w:rFonts w:asciiTheme="majorEastAsia" w:eastAsiaTheme="majorEastAsia" w:hAnsiTheme="majorEastAsia" w:cs="Arial" w:hint="eastAsia"/>
          <w:sz w:val="26"/>
          <w:szCs w:val="26"/>
        </w:rPr>
        <w:t>有</w:t>
      </w:r>
      <w:r>
        <w:rPr>
          <w:rFonts w:asciiTheme="majorEastAsia" w:eastAsiaTheme="majorEastAsia" w:hAnsiTheme="majorEastAsia" w:cs="Arial" w:hint="eastAsia"/>
          <w:sz w:val="26"/>
          <w:szCs w:val="26"/>
        </w:rPr>
        <w:t>最熱門的行動遊戲、</w:t>
      </w:r>
      <w:proofErr w:type="gramStart"/>
      <w:r>
        <w:rPr>
          <w:rFonts w:asciiTheme="majorEastAsia" w:eastAsiaTheme="majorEastAsia" w:hAnsiTheme="majorEastAsia" w:cs="Arial" w:hint="eastAsia"/>
          <w:sz w:val="26"/>
          <w:szCs w:val="26"/>
        </w:rPr>
        <w:t>線上遊戲</w:t>
      </w:r>
      <w:proofErr w:type="gramEnd"/>
      <w:r>
        <w:rPr>
          <w:rFonts w:asciiTheme="majorEastAsia" w:eastAsiaTheme="majorEastAsia" w:hAnsiTheme="majorEastAsia" w:cs="Arial" w:hint="eastAsia"/>
          <w:sz w:val="26"/>
          <w:szCs w:val="26"/>
        </w:rPr>
        <w:t>、家用主機</w:t>
      </w:r>
      <w:r w:rsidR="00353DA1">
        <w:rPr>
          <w:rFonts w:asciiTheme="majorEastAsia" w:eastAsiaTheme="majorEastAsia" w:hAnsiTheme="majorEastAsia" w:cs="Arial" w:hint="eastAsia"/>
          <w:sz w:val="26"/>
          <w:szCs w:val="26"/>
        </w:rPr>
        <w:t>與</w:t>
      </w:r>
      <w:r>
        <w:rPr>
          <w:rFonts w:asciiTheme="majorEastAsia" w:eastAsiaTheme="majorEastAsia" w:hAnsiTheme="majorEastAsia" w:cs="Arial" w:hint="eastAsia"/>
          <w:sz w:val="26"/>
          <w:szCs w:val="26"/>
        </w:rPr>
        <w:t>遊戲</w:t>
      </w:r>
      <w:r w:rsidR="00BB2526">
        <w:rPr>
          <w:rFonts w:asciiTheme="majorEastAsia" w:eastAsiaTheme="majorEastAsia" w:hAnsiTheme="majorEastAsia" w:cs="Arial" w:hint="eastAsia"/>
          <w:sz w:val="26"/>
          <w:szCs w:val="26"/>
        </w:rPr>
        <w:t>、</w:t>
      </w:r>
      <w:proofErr w:type="gramStart"/>
      <w:r w:rsidR="00BB2526">
        <w:rPr>
          <w:rFonts w:asciiTheme="majorEastAsia" w:eastAsiaTheme="majorEastAsia" w:hAnsiTheme="majorEastAsia" w:cs="Arial" w:hint="eastAsia"/>
          <w:sz w:val="26"/>
          <w:szCs w:val="26"/>
        </w:rPr>
        <w:t>知名電競品牌</w:t>
      </w:r>
      <w:proofErr w:type="gramEnd"/>
      <w:r w:rsidR="00353DA1">
        <w:rPr>
          <w:rFonts w:asciiTheme="majorEastAsia" w:eastAsiaTheme="majorEastAsia" w:hAnsiTheme="majorEastAsia" w:cs="Arial" w:hint="eastAsia"/>
          <w:sz w:val="26"/>
          <w:szCs w:val="26"/>
        </w:rPr>
        <w:t>以及</w:t>
      </w:r>
      <w:r>
        <w:rPr>
          <w:rFonts w:asciiTheme="majorEastAsia" w:eastAsiaTheme="majorEastAsia" w:hAnsiTheme="majorEastAsia" w:cs="Arial" w:hint="eastAsia"/>
          <w:sz w:val="26"/>
          <w:szCs w:val="26"/>
        </w:rPr>
        <w:t>全球知名電競賽事活動</w:t>
      </w:r>
      <w:r w:rsidR="00353DA1">
        <w:rPr>
          <w:rFonts w:asciiTheme="majorEastAsia" w:eastAsiaTheme="majorEastAsia" w:hAnsiTheme="majorEastAsia" w:cs="Arial" w:hint="eastAsia"/>
          <w:sz w:val="26"/>
          <w:szCs w:val="26"/>
        </w:rPr>
        <w:t>等。</w:t>
      </w:r>
      <w:r w:rsidR="00BB2526">
        <w:rPr>
          <w:rFonts w:asciiTheme="majorEastAsia" w:eastAsiaTheme="majorEastAsia" w:hAnsiTheme="majorEastAsia" w:cs="Arial" w:hint="eastAsia"/>
          <w:sz w:val="26"/>
          <w:szCs w:val="26"/>
        </w:rPr>
        <w:t>欲知更多活動消息，</w:t>
      </w:r>
      <w:r w:rsidR="00BB2526" w:rsidRPr="00CF7038">
        <w:rPr>
          <w:rFonts w:ascii="Arial" w:hAnsi="Arial" w:cs="Arial"/>
          <w:sz w:val="26"/>
          <w:szCs w:val="26"/>
        </w:rPr>
        <w:t>歡迎加入官方粉絲團或上官方網站</w:t>
      </w:r>
      <w:proofErr w:type="gramStart"/>
      <w:r w:rsidR="00BB2526" w:rsidRPr="00CF7038">
        <w:rPr>
          <w:rFonts w:ascii="Arial" w:hAnsi="Arial" w:cs="Arial"/>
          <w:sz w:val="26"/>
          <w:szCs w:val="26"/>
        </w:rPr>
        <w:t>（</w:t>
      </w:r>
      <w:proofErr w:type="gramEnd"/>
      <w:r w:rsidR="00BB2526" w:rsidRPr="00CF7038">
        <w:rPr>
          <w:rFonts w:ascii="Arial" w:hAnsi="Arial" w:cs="Arial"/>
          <w:sz w:val="26"/>
          <w:szCs w:val="26"/>
        </w:rPr>
        <w:fldChar w:fldCharType="begin"/>
      </w:r>
      <w:r w:rsidR="00BB2526" w:rsidRPr="00CF7038">
        <w:rPr>
          <w:rFonts w:ascii="Arial" w:hAnsi="Arial" w:cs="Arial"/>
          <w:sz w:val="26"/>
          <w:szCs w:val="26"/>
        </w:rPr>
        <w:instrText>HYPERLINK "http://tgs.tca.org.tw/"</w:instrText>
      </w:r>
      <w:r w:rsidR="00BB2526" w:rsidRPr="00CF7038">
        <w:rPr>
          <w:rFonts w:ascii="Arial" w:hAnsi="Arial" w:cs="Arial"/>
          <w:sz w:val="26"/>
          <w:szCs w:val="26"/>
        </w:rPr>
        <w:fldChar w:fldCharType="separate"/>
      </w:r>
      <w:r w:rsidR="00BB2526" w:rsidRPr="00CF7038">
        <w:rPr>
          <w:rFonts w:ascii="Arial" w:hAnsi="Arial" w:cs="Arial"/>
          <w:sz w:val="26"/>
          <w:szCs w:val="26"/>
        </w:rPr>
        <w:t>http://tgs.tca.org.tw</w:t>
      </w:r>
      <w:r w:rsidR="00BB2526" w:rsidRPr="00CF7038">
        <w:rPr>
          <w:rFonts w:ascii="Arial" w:hAnsi="Arial" w:cs="Arial"/>
          <w:sz w:val="26"/>
          <w:szCs w:val="26"/>
        </w:rPr>
        <w:fldChar w:fldCharType="end"/>
      </w:r>
      <w:proofErr w:type="gramStart"/>
      <w:r w:rsidR="00BB2526" w:rsidRPr="00CF7038">
        <w:rPr>
          <w:rFonts w:ascii="Arial" w:hAnsi="Arial" w:cs="Arial"/>
          <w:sz w:val="26"/>
          <w:szCs w:val="26"/>
        </w:rPr>
        <w:t>）</w:t>
      </w:r>
      <w:proofErr w:type="gramEnd"/>
      <w:r w:rsidR="00BB2526" w:rsidRPr="00CF7038">
        <w:rPr>
          <w:rFonts w:ascii="Arial" w:hAnsi="Arial" w:cs="Arial"/>
          <w:sz w:val="26"/>
          <w:szCs w:val="26"/>
        </w:rPr>
        <w:t>查詢。</w:t>
      </w:r>
    </w:p>
    <w:p w:rsidR="00AA77F9" w:rsidRPr="000503AF" w:rsidRDefault="00AA77F9" w:rsidP="009E7549">
      <w:pPr>
        <w:rPr>
          <w:rFonts w:ascii="新細明體" w:eastAsia="新細明體" w:hAnsi="新細明體" w:cs="Arial"/>
          <w:b/>
          <w:sz w:val="26"/>
          <w:szCs w:val="26"/>
        </w:rPr>
      </w:pPr>
    </w:p>
    <w:p w:rsidR="005B490E" w:rsidRPr="000503AF" w:rsidRDefault="005B490E" w:rsidP="005B490E">
      <w:pPr>
        <w:spacing w:line="420" w:lineRule="exact"/>
        <w:jc w:val="both"/>
        <w:rPr>
          <w:rFonts w:ascii="新細明體" w:eastAsia="新細明體" w:hAnsi="新細明體"/>
          <w:sz w:val="26"/>
          <w:szCs w:val="26"/>
          <w:lang w:val="zh-TW"/>
        </w:rPr>
      </w:pPr>
      <w:r w:rsidRPr="000503AF">
        <w:rPr>
          <w:rFonts w:ascii="新細明體" w:eastAsia="新細明體" w:hAnsi="新細明體" w:hint="eastAsia"/>
          <w:sz w:val="26"/>
          <w:szCs w:val="26"/>
        </w:rPr>
        <w:t>※</w:t>
      </w:r>
      <w:r w:rsidRPr="000503AF">
        <w:rPr>
          <w:rFonts w:ascii="新細明體" w:eastAsia="新細明體" w:hAnsi="新細明體" w:hint="eastAsia"/>
          <w:sz w:val="26"/>
          <w:szCs w:val="26"/>
          <w:lang w:val="zh-TW"/>
        </w:rPr>
        <w:t>新聞聯絡人：台北市電腦公會 蔡宇</w:t>
      </w:r>
      <w:proofErr w:type="gramStart"/>
      <w:r w:rsidRPr="000503AF">
        <w:rPr>
          <w:rFonts w:ascii="新細明體" w:eastAsia="新細明體" w:hAnsi="新細明體" w:hint="eastAsia"/>
          <w:sz w:val="26"/>
          <w:szCs w:val="26"/>
          <w:lang w:val="zh-TW"/>
        </w:rPr>
        <w:t>橞</w:t>
      </w:r>
      <w:proofErr w:type="gramEnd"/>
      <w:r w:rsidRPr="000503AF">
        <w:rPr>
          <w:rFonts w:ascii="新細明體" w:eastAsia="新細明體" w:hAnsi="新細明體" w:hint="eastAsia"/>
          <w:sz w:val="26"/>
          <w:szCs w:val="26"/>
          <w:lang w:val="zh-TW"/>
        </w:rPr>
        <w:t xml:space="preserve">（Sally）0919-350023 </w:t>
      </w:r>
      <w:hyperlink r:id="rId7" w:history="1">
        <w:r w:rsidRPr="000503AF">
          <w:rPr>
            <w:rStyle w:val="a3"/>
            <w:rFonts w:ascii="新細明體" w:eastAsia="新細明體" w:hAnsi="新細明體" w:hint="eastAsia"/>
            <w:sz w:val="26"/>
            <w:szCs w:val="26"/>
            <w:lang w:val="zh-TW"/>
          </w:rPr>
          <w:t>sally@mail.tca.org.tw</w:t>
        </w:r>
      </w:hyperlink>
    </w:p>
    <w:p w:rsidR="000503AF" w:rsidRDefault="000503AF" w:rsidP="005B490E">
      <w:pPr>
        <w:spacing w:line="420" w:lineRule="exact"/>
        <w:jc w:val="both"/>
        <w:rPr>
          <w:rFonts w:ascii="新細明體" w:eastAsia="新細明體" w:hAnsi="新細明體" w:cs="細明體"/>
          <w:color w:val="0D0D0D"/>
          <w:sz w:val="26"/>
          <w:szCs w:val="26"/>
          <w:lang w:val="zh-TW"/>
        </w:rPr>
      </w:pPr>
    </w:p>
    <w:sectPr w:rsidR="000503AF" w:rsidSect="000503A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BBA" w:rsidRDefault="00550BBA" w:rsidP="00D85B26">
      <w:r>
        <w:separator/>
      </w:r>
    </w:p>
  </w:endnote>
  <w:endnote w:type="continuationSeparator" w:id="0">
    <w:p w:rsidR="00550BBA" w:rsidRDefault="00550BBA" w:rsidP="00D8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BBA" w:rsidRDefault="00550BBA" w:rsidP="00D85B26">
      <w:r>
        <w:separator/>
      </w:r>
    </w:p>
  </w:footnote>
  <w:footnote w:type="continuationSeparator" w:id="0">
    <w:p w:rsidR="00550BBA" w:rsidRDefault="00550BBA" w:rsidP="00D85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61"/>
    <w:rsid w:val="0000637A"/>
    <w:rsid w:val="00007D3D"/>
    <w:rsid w:val="00021020"/>
    <w:rsid w:val="00021C4E"/>
    <w:rsid w:val="000232BE"/>
    <w:rsid w:val="00025223"/>
    <w:rsid w:val="0003333D"/>
    <w:rsid w:val="0004171F"/>
    <w:rsid w:val="000456DC"/>
    <w:rsid w:val="000503AF"/>
    <w:rsid w:val="00077EE0"/>
    <w:rsid w:val="000A1701"/>
    <w:rsid w:val="000A37F4"/>
    <w:rsid w:val="000B09C4"/>
    <w:rsid w:val="000F382C"/>
    <w:rsid w:val="001026E7"/>
    <w:rsid w:val="0012194D"/>
    <w:rsid w:val="001D536A"/>
    <w:rsid w:val="001E3737"/>
    <w:rsid w:val="00212E27"/>
    <w:rsid w:val="0021728E"/>
    <w:rsid w:val="00224876"/>
    <w:rsid w:val="00226A5B"/>
    <w:rsid w:val="00250B13"/>
    <w:rsid w:val="002A78A4"/>
    <w:rsid w:val="002F651B"/>
    <w:rsid w:val="00340967"/>
    <w:rsid w:val="00341B32"/>
    <w:rsid w:val="00353DA1"/>
    <w:rsid w:val="00384866"/>
    <w:rsid w:val="00435C45"/>
    <w:rsid w:val="00436757"/>
    <w:rsid w:val="00440E5C"/>
    <w:rsid w:val="00454001"/>
    <w:rsid w:val="004A5A4D"/>
    <w:rsid w:val="004B6A68"/>
    <w:rsid w:val="004D17D6"/>
    <w:rsid w:val="00500F94"/>
    <w:rsid w:val="00503636"/>
    <w:rsid w:val="0051271D"/>
    <w:rsid w:val="005454CA"/>
    <w:rsid w:val="00550839"/>
    <w:rsid w:val="00550BBA"/>
    <w:rsid w:val="00560073"/>
    <w:rsid w:val="005672CB"/>
    <w:rsid w:val="005B490E"/>
    <w:rsid w:val="005F3C0A"/>
    <w:rsid w:val="006140FA"/>
    <w:rsid w:val="00631F53"/>
    <w:rsid w:val="006329E4"/>
    <w:rsid w:val="00636466"/>
    <w:rsid w:val="006639D6"/>
    <w:rsid w:val="00692197"/>
    <w:rsid w:val="006F31D5"/>
    <w:rsid w:val="006F642F"/>
    <w:rsid w:val="00742406"/>
    <w:rsid w:val="00753061"/>
    <w:rsid w:val="00774B1B"/>
    <w:rsid w:val="00781045"/>
    <w:rsid w:val="007A1F96"/>
    <w:rsid w:val="007A51A2"/>
    <w:rsid w:val="007D4287"/>
    <w:rsid w:val="007E73E7"/>
    <w:rsid w:val="008278E1"/>
    <w:rsid w:val="00833589"/>
    <w:rsid w:val="00850090"/>
    <w:rsid w:val="0085430F"/>
    <w:rsid w:val="00867CB2"/>
    <w:rsid w:val="008965CC"/>
    <w:rsid w:val="008F74FC"/>
    <w:rsid w:val="009018A6"/>
    <w:rsid w:val="00982613"/>
    <w:rsid w:val="009C18A9"/>
    <w:rsid w:val="009E7549"/>
    <w:rsid w:val="00A120DD"/>
    <w:rsid w:val="00A136BA"/>
    <w:rsid w:val="00A600CA"/>
    <w:rsid w:val="00A74DB7"/>
    <w:rsid w:val="00AA77F9"/>
    <w:rsid w:val="00AC7B41"/>
    <w:rsid w:val="00B0758C"/>
    <w:rsid w:val="00B117AD"/>
    <w:rsid w:val="00B244F8"/>
    <w:rsid w:val="00B450E2"/>
    <w:rsid w:val="00B704D9"/>
    <w:rsid w:val="00B754A0"/>
    <w:rsid w:val="00BB2526"/>
    <w:rsid w:val="00BB4366"/>
    <w:rsid w:val="00BE4ADF"/>
    <w:rsid w:val="00BF172A"/>
    <w:rsid w:val="00BF1852"/>
    <w:rsid w:val="00C2408F"/>
    <w:rsid w:val="00C93331"/>
    <w:rsid w:val="00C957A8"/>
    <w:rsid w:val="00CB19C1"/>
    <w:rsid w:val="00CD31AC"/>
    <w:rsid w:val="00CF6695"/>
    <w:rsid w:val="00D24197"/>
    <w:rsid w:val="00D26E63"/>
    <w:rsid w:val="00D601C3"/>
    <w:rsid w:val="00D715C1"/>
    <w:rsid w:val="00D83C78"/>
    <w:rsid w:val="00D85B26"/>
    <w:rsid w:val="00D9527B"/>
    <w:rsid w:val="00DA275A"/>
    <w:rsid w:val="00DC58F9"/>
    <w:rsid w:val="00DC67F4"/>
    <w:rsid w:val="00E25E09"/>
    <w:rsid w:val="00E33164"/>
    <w:rsid w:val="00E607F8"/>
    <w:rsid w:val="00E657FD"/>
    <w:rsid w:val="00EB1D06"/>
    <w:rsid w:val="00ED5E60"/>
    <w:rsid w:val="00F06B9B"/>
    <w:rsid w:val="00F21726"/>
    <w:rsid w:val="00F37D23"/>
    <w:rsid w:val="00F47049"/>
    <w:rsid w:val="00F504F8"/>
    <w:rsid w:val="00F57E4C"/>
    <w:rsid w:val="00F90BA1"/>
    <w:rsid w:val="00FA37F0"/>
    <w:rsid w:val="00FB00E9"/>
    <w:rsid w:val="00FB34DA"/>
    <w:rsid w:val="00FD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82C"/>
    <w:rPr>
      <w:color w:val="0000FF" w:themeColor="hyperlink"/>
      <w:u w:val="single"/>
    </w:rPr>
  </w:style>
  <w:style w:type="character" w:customStyle="1" w:styleId="maintext">
    <w:name w:val="maintext"/>
    <w:basedOn w:val="a0"/>
    <w:rsid w:val="00341B32"/>
  </w:style>
  <w:style w:type="paragraph" w:styleId="a4">
    <w:name w:val="Balloon Text"/>
    <w:basedOn w:val="a"/>
    <w:link w:val="a5"/>
    <w:uiPriority w:val="99"/>
    <w:semiHidden/>
    <w:unhideWhenUsed/>
    <w:rsid w:val="00B07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075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5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85B2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85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85B2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82C"/>
    <w:rPr>
      <w:color w:val="0000FF" w:themeColor="hyperlink"/>
      <w:u w:val="single"/>
    </w:rPr>
  </w:style>
  <w:style w:type="character" w:customStyle="1" w:styleId="maintext">
    <w:name w:val="maintext"/>
    <w:basedOn w:val="a0"/>
    <w:rsid w:val="00341B32"/>
  </w:style>
  <w:style w:type="paragraph" w:styleId="a4">
    <w:name w:val="Balloon Text"/>
    <w:basedOn w:val="a"/>
    <w:link w:val="a5"/>
    <w:uiPriority w:val="99"/>
    <w:semiHidden/>
    <w:unhideWhenUsed/>
    <w:rsid w:val="00B07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075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5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85B2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85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85B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ly@mail.tca.org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1468</Words>
  <Characters>1717</Characters>
  <Application>Microsoft Office Word</Application>
  <DocSecurity>0</DocSecurity>
  <Lines>55</Lines>
  <Paragraphs>10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20</cp:revision>
  <cp:lastPrinted>2014-09-02T02:46:00Z</cp:lastPrinted>
  <dcterms:created xsi:type="dcterms:W3CDTF">2014-09-01T07:06:00Z</dcterms:created>
  <dcterms:modified xsi:type="dcterms:W3CDTF">2014-09-02T07:58:00Z</dcterms:modified>
</cp:coreProperties>
</file>